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ind w:firstLine="480"/>
        <w:jc w:val="both"/>
        <w:rPr>
          <w:rFonts w:hint="eastAsia" w:ascii="宋体" w:hAnsi="宋体" w:eastAsia="宋体" w:cs="宋体"/>
          <w:color w:val="000000"/>
          <w:sz w:val="24"/>
          <w:szCs w:val="24"/>
        </w:rPr>
      </w:pPr>
    </w:p>
    <w:p>
      <w:pPr>
        <w:adjustRightInd/>
        <w:snapToGrid/>
        <w:spacing w:after="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宜春市退役军人事务局</w:t>
      </w:r>
      <w:r>
        <w:rPr>
          <w:rFonts w:hint="eastAsia" w:ascii="方正小标宋简体" w:hAnsi="方正小标宋简体" w:eastAsia="方正小标宋简体" w:cs="方正小标宋简体"/>
          <w:b w:val="0"/>
          <w:bCs w:val="0"/>
          <w:color w:val="000000"/>
          <w:sz w:val="44"/>
          <w:szCs w:val="44"/>
          <w:lang w:val="en-US" w:eastAsia="zh-CN"/>
        </w:rPr>
        <w:t>2019年</w:t>
      </w:r>
      <w:r>
        <w:rPr>
          <w:rFonts w:hint="eastAsia" w:ascii="方正小标宋简体" w:hAnsi="方正小标宋简体" w:eastAsia="方正小标宋简体" w:cs="方正小标宋简体"/>
          <w:b w:val="0"/>
          <w:bCs w:val="0"/>
          <w:color w:val="000000"/>
          <w:sz w:val="44"/>
          <w:szCs w:val="44"/>
        </w:rPr>
        <w:t>政府</w:t>
      </w:r>
    </w:p>
    <w:p>
      <w:pPr>
        <w:adjustRightInd/>
        <w:snapToGrid/>
        <w:spacing w:after="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信息公开工作年度报告</w:t>
      </w:r>
    </w:p>
    <w:p>
      <w:pPr>
        <w:adjustRightInd/>
        <w:snapToGrid/>
        <w:spacing w:after="0"/>
        <w:ind w:firstLine="480"/>
        <w:jc w:val="both"/>
        <w:rPr>
          <w:rFonts w:hint="eastAsia" w:ascii="宋体" w:hAnsi="宋体" w:eastAsia="宋体" w:cs="宋体"/>
          <w:color w:val="000000"/>
          <w:sz w:val="24"/>
          <w:szCs w:val="24"/>
        </w:rPr>
      </w:pPr>
    </w:p>
    <w:p>
      <w:pPr>
        <w:adjustRightInd/>
        <w:snapToGrid/>
        <w:spacing w:after="0"/>
        <w:jc w:val="both"/>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　　根据《中华人民共和国政府信息公开条例》要求，结合我局该项工作的实际开展情况，现编制我局</w:t>
      </w:r>
      <w:r>
        <w:rPr>
          <w:rFonts w:hint="eastAsia" w:ascii="仿宋_GB2312" w:hAnsi="仿宋_GB2312" w:eastAsia="仿宋_GB2312" w:cs="仿宋_GB2312"/>
          <w:b w:val="0"/>
          <w:bCs w:val="0"/>
          <w:color w:val="000000"/>
          <w:sz w:val="32"/>
          <w:szCs w:val="32"/>
          <w:lang w:val="en-US" w:eastAsia="zh-CN"/>
        </w:rPr>
        <w:t>2019年政府信息公开工作年度</w:t>
      </w:r>
      <w:r>
        <w:rPr>
          <w:rFonts w:hint="eastAsia" w:ascii="仿宋_GB2312" w:hAnsi="仿宋_GB2312" w:eastAsia="仿宋_GB2312" w:cs="仿宋_GB2312"/>
          <w:b w:val="0"/>
          <w:bCs w:val="0"/>
          <w:color w:val="000000"/>
          <w:sz w:val="32"/>
          <w:szCs w:val="32"/>
          <w:lang w:eastAsia="zh-CN"/>
        </w:rPr>
        <w:t>报告如下。</w:t>
      </w:r>
    </w:p>
    <w:p>
      <w:pPr>
        <w:adjustRightInd/>
        <w:snapToGrid/>
        <w:spacing w:after="0"/>
        <w:jc w:val="both"/>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　　本报告中所列数据的统计期限自2019年1月1日起，至2019年12月31日止。本报告的电子版将于2020年1月31日前在宜春市退役军人事务局网站（http://ycstyjrswj.yichun.gov.cn/）公布。如对报告有任何疑问，请与宜春市退役军人事务局联系（地址：宜春市文艺东路</w:t>
      </w:r>
      <w:r>
        <w:rPr>
          <w:rFonts w:hint="eastAsia" w:ascii="仿宋_GB2312" w:hAnsi="仿宋_GB2312" w:eastAsia="仿宋_GB2312" w:cs="仿宋_GB2312"/>
          <w:b w:val="0"/>
          <w:bCs w:val="0"/>
          <w:color w:val="000000"/>
          <w:sz w:val="32"/>
          <w:szCs w:val="32"/>
          <w:lang w:val="en-US" w:eastAsia="zh-CN"/>
        </w:rPr>
        <w:t>1号108室</w:t>
      </w:r>
      <w:r>
        <w:rPr>
          <w:rFonts w:hint="eastAsia" w:ascii="仿宋_GB2312" w:hAnsi="仿宋_GB2312" w:eastAsia="仿宋_GB2312" w:cs="仿宋_GB2312"/>
          <w:b w:val="0"/>
          <w:bCs w:val="0"/>
          <w:color w:val="000000"/>
          <w:sz w:val="32"/>
          <w:szCs w:val="32"/>
          <w:lang w:eastAsia="zh-CN"/>
        </w:rPr>
        <w:t>，邮编：336000，电话：0795-3</w:t>
      </w:r>
      <w:r>
        <w:rPr>
          <w:rFonts w:hint="eastAsia" w:ascii="仿宋_GB2312" w:hAnsi="仿宋_GB2312" w:eastAsia="仿宋_GB2312" w:cs="仿宋_GB2312"/>
          <w:b w:val="0"/>
          <w:bCs w:val="0"/>
          <w:color w:val="000000"/>
          <w:sz w:val="32"/>
          <w:szCs w:val="32"/>
          <w:lang w:val="en-US" w:eastAsia="zh-CN"/>
        </w:rPr>
        <w:t>588908</w:t>
      </w:r>
      <w:r>
        <w:rPr>
          <w:rFonts w:hint="eastAsia" w:ascii="仿宋_GB2312" w:hAnsi="仿宋_GB2312" w:eastAsia="仿宋_GB2312" w:cs="仿宋_GB2312"/>
          <w:b w:val="0"/>
          <w:bCs w:val="0"/>
          <w:color w:val="000000"/>
          <w:sz w:val="32"/>
          <w:szCs w:val="32"/>
          <w:lang w:eastAsia="zh-CN"/>
        </w:rPr>
        <w:t>，电子邮箱：</w:t>
      </w:r>
      <w:r>
        <w:rPr>
          <w:rFonts w:hint="eastAsia" w:ascii="仿宋_GB2312" w:hAnsi="仿宋_GB2312" w:eastAsia="仿宋_GB2312" w:cs="仿宋_GB2312"/>
          <w:b w:val="0"/>
          <w:bCs w:val="0"/>
          <w:color w:val="000000"/>
          <w:sz w:val="32"/>
          <w:szCs w:val="32"/>
          <w:lang w:val="en-US" w:eastAsia="zh-CN"/>
        </w:rPr>
        <w:fldChar w:fldCharType="begin"/>
      </w:r>
      <w:r>
        <w:rPr>
          <w:rFonts w:hint="eastAsia" w:ascii="仿宋_GB2312" w:hAnsi="仿宋_GB2312" w:eastAsia="仿宋_GB2312" w:cs="仿宋_GB2312"/>
          <w:b w:val="0"/>
          <w:bCs w:val="0"/>
          <w:color w:val="000000"/>
          <w:sz w:val="32"/>
          <w:szCs w:val="32"/>
          <w:lang w:val="en-US" w:eastAsia="zh-CN"/>
        </w:rPr>
        <w:instrText xml:space="preserve"> HYPERLINK "mailto:884250145@qq.com" </w:instrText>
      </w:r>
      <w:r>
        <w:rPr>
          <w:rFonts w:hint="eastAsia" w:ascii="仿宋_GB2312" w:hAnsi="仿宋_GB2312" w:eastAsia="仿宋_GB2312" w:cs="仿宋_GB2312"/>
          <w:b w:val="0"/>
          <w:bCs w:val="0"/>
          <w:color w:val="000000"/>
          <w:sz w:val="32"/>
          <w:szCs w:val="32"/>
          <w:lang w:val="en-US" w:eastAsia="zh-CN"/>
        </w:rPr>
        <w:fldChar w:fldCharType="separate"/>
      </w:r>
      <w:r>
        <w:rPr>
          <w:rStyle w:val="5"/>
          <w:rFonts w:hint="eastAsia" w:ascii="仿宋_GB2312" w:hAnsi="仿宋_GB2312" w:eastAsia="仿宋_GB2312" w:cs="仿宋_GB2312"/>
          <w:b w:val="0"/>
          <w:bCs w:val="0"/>
          <w:color w:val="000000"/>
          <w:sz w:val="32"/>
          <w:szCs w:val="32"/>
          <w:lang w:val="en-US" w:eastAsia="zh-CN"/>
        </w:rPr>
        <w:t>884250145@qq.com</w:t>
      </w:r>
      <w:r>
        <w:rPr>
          <w:rFonts w:hint="eastAsia" w:ascii="仿宋_GB2312" w:hAnsi="仿宋_GB2312" w:eastAsia="仿宋_GB2312" w:cs="仿宋_GB2312"/>
          <w:b w:val="0"/>
          <w:bCs w:val="0"/>
          <w:color w:val="000000"/>
          <w:sz w:val="32"/>
          <w:szCs w:val="32"/>
          <w:lang w:val="en-US" w:eastAsia="zh-CN"/>
        </w:rPr>
        <w:fldChar w:fldCharType="end"/>
      </w:r>
    </w:p>
    <w:p>
      <w:pPr>
        <w:adjustRightInd/>
        <w:snapToGrid/>
        <w:spacing w:after="0"/>
        <w:jc w:val="both"/>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lang w:eastAsia="zh-CN"/>
        </w:rPr>
        <w:t>　　</w:t>
      </w:r>
      <w:r>
        <w:rPr>
          <w:rFonts w:hint="eastAsia" w:ascii="黑体" w:hAnsi="黑体" w:eastAsia="黑体" w:cs="黑体"/>
          <w:b w:val="0"/>
          <w:bCs w:val="0"/>
          <w:color w:val="000000"/>
          <w:sz w:val="32"/>
          <w:szCs w:val="32"/>
        </w:rPr>
        <w:t>一、总体情况</w:t>
      </w:r>
    </w:p>
    <w:p>
      <w:pPr>
        <w:adjustRightInd/>
        <w:snapToGrid/>
        <w:spacing w:after="0"/>
        <w:ind w:firstLine="665"/>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宜春市</w:t>
      </w:r>
      <w:r>
        <w:rPr>
          <w:rFonts w:hint="eastAsia" w:ascii="仿宋_GB2312" w:hAnsi="仿宋_GB2312" w:eastAsia="仿宋_GB2312" w:cs="仿宋_GB2312"/>
          <w:color w:val="000000"/>
          <w:sz w:val="32"/>
          <w:szCs w:val="32"/>
        </w:rPr>
        <w:t>退役军人事务局2019年1月成立以来，认真贯彻《中华人民共和国政府信息公开条例》和省、市党委和政府关于政务公开的各项决策部署，以服务广大退役军人事务工作、双拥优抚工作为重点，积极推进决策、执行、管理、服务、结果公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政务公开工作逐步制度化、规范化、科学化。</w:t>
      </w:r>
    </w:p>
    <w:p>
      <w:pPr>
        <w:adjustRightInd/>
        <w:snapToGrid/>
        <w:spacing w:after="0"/>
        <w:ind w:firstLine="665"/>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（一）夯实机制体制建设。</w:t>
      </w:r>
      <w:r>
        <w:rPr>
          <w:rFonts w:hint="eastAsia" w:ascii="仿宋_GB2312" w:hAnsi="仿宋_GB2312" w:eastAsia="仿宋_GB2312" w:cs="仿宋_GB2312"/>
          <w:color w:val="000000"/>
          <w:sz w:val="32"/>
          <w:szCs w:val="32"/>
        </w:rPr>
        <w:t>根据市政府信息公开的有关要求，我局进一步加大了政务公开工作的力度，</w:t>
      </w:r>
      <w:r>
        <w:rPr>
          <w:rFonts w:hint="eastAsia" w:ascii="仿宋_GB2312" w:hAnsi="仿宋_GB2312" w:eastAsia="仿宋_GB2312" w:cs="仿宋_GB2312"/>
          <w:color w:val="000000"/>
          <w:sz w:val="32"/>
          <w:szCs w:val="32"/>
          <w:lang w:eastAsia="zh-CN"/>
        </w:rPr>
        <w:t>建立健全了政府信息公开工作机制。我局政府</w:t>
      </w:r>
      <w:r>
        <w:rPr>
          <w:rFonts w:hint="eastAsia" w:ascii="仿宋_GB2312" w:hAnsi="仿宋_GB2312" w:eastAsia="仿宋_GB2312" w:cs="仿宋_GB2312"/>
          <w:color w:val="000000"/>
          <w:sz w:val="32"/>
          <w:szCs w:val="32"/>
        </w:rPr>
        <w:t>信息公开工作由局</w:t>
      </w:r>
      <w:r>
        <w:rPr>
          <w:rFonts w:hint="eastAsia" w:ascii="仿宋_GB2312" w:hAnsi="仿宋_GB2312" w:eastAsia="仿宋_GB2312" w:cs="仿宋_GB2312"/>
          <w:color w:val="000000"/>
          <w:sz w:val="32"/>
          <w:szCs w:val="32"/>
          <w:lang w:eastAsia="zh-CN"/>
        </w:rPr>
        <w:t>党组成员、副局长杨洪滨</w:t>
      </w:r>
      <w:r>
        <w:rPr>
          <w:rFonts w:hint="eastAsia" w:ascii="仿宋_GB2312" w:hAnsi="仿宋_GB2312" w:eastAsia="仿宋_GB2312" w:cs="仿宋_GB2312"/>
          <w:color w:val="000000"/>
          <w:sz w:val="32"/>
          <w:szCs w:val="32"/>
        </w:rPr>
        <w:t>分管，</w:t>
      </w:r>
      <w:r>
        <w:rPr>
          <w:rFonts w:hint="eastAsia" w:ascii="仿宋_GB2312" w:hAnsi="仿宋_GB2312" w:eastAsia="仿宋_GB2312" w:cs="仿宋_GB2312"/>
          <w:color w:val="000000"/>
          <w:sz w:val="32"/>
          <w:szCs w:val="32"/>
          <w:lang w:eastAsia="zh-CN"/>
        </w:rPr>
        <w:t>信息数据科为政府信息公开的日常工作机构</w:t>
      </w:r>
      <w:r>
        <w:rPr>
          <w:rFonts w:hint="eastAsia" w:ascii="仿宋_GB2312" w:hAnsi="仿宋_GB2312" w:eastAsia="仿宋_GB2312" w:cs="仿宋_GB2312"/>
          <w:color w:val="000000"/>
          <w:sz w:val="32"/>
          <w:szCs w:val="32"/>
        </w:rPr>
        <w:t>，指定了专人负责日常公开和报告编撰等具体工作，</w:t>
      </w:r>
      <w:r>
        <w:rPr>
          <w:rFonts w:hint="eastAsia" w:ascii="仿宋_GB2312" w:hAnsi="仿宋_GB2312" w:eastAsia="仿宋_GB2312" w:cs="仿宋_GB2312"/>
          <w:color w:val="000000"/>
          <w:sz w:val="32"/>
          <w:szCs w:val="32"/>
          <w:lang w:eastAsia="zh-CN"/>
        </w:rPr>
        <w:t>局属各单位、</w:t>
      </w:r>
      <w:r>
        <w:rPr>
          <w:rFonts w:hint="eastAsia" w:ascii="仿宋_GB2312" w:hAnsi="仿宋_GB2312" w:eastAsia="仿宋_GB2312" w:cs="仿宋_GB2312"/>
          <w:color w:val="000000"/>
          <w:sz w:val="32"/>
          <w:szCs w:val="32"/>
        </w:rPr>
        <w:t>各科</w:t>
      </w:r>
      <w:r>
        <w:rPr>
          <w:rFonts w:hint="eastAsia" w:ascii="仿宋_GB2312" w:hAnsi="仿宋_GB2312" w:eastAsia="仿宋_GB2312" w:cs="仿宋_GB2312"/>
          <w:color w:val="000000"/>
          <w:sz w:val="32"/>
          <w:szCs w:val="32"/>
          <w:lang w:eastAsia="zh-CN"/>
        </w:rPr>
        <w:t>室</w:t>
      </w:r>
      <w:r>
        <w:rPr>
          <w:rFonts w:hint="eastAsia" w:ascii="仿宋_GB2312" w:hAnsi="仿宋_GB2312" w:eastAsia="仿宋_GB2312" w:cs="仿宋_GB2312"/>
          <w:color w:val="000000"/>
          <w:sz w:val="32"/>
          <w:szCs w:val="32"/>
        </w:rPr>
        <w:t>结合职责分工予以配</w:t>
      </w:r>
      <w:r>
        <w:rPr>
          <w:rFonts w:hint="eastAsia" w:ascii="仿宋_GB2312" w:hAnsi="仿宋_GB2312" w:eastAsia="仿宋_GB2312" w:cs="仿宋_GB2312"/>
          <w:color w:val="000000"/>
          <w:sz w:val="32"/>
          <w:szCs w:val="32"/>
          <w:lang w:eastAsia="zh-CN"/>
        </w:rPr>
        <w:t>合，提供信息公开各项业务资料。</w:t>
      </w:r>
    </w:p>
    <w:p>
      <w:pPr>
        <w:adjustRightInd/>
        <w:snapToGrid/>
        <w:spacing w:after="0"/>
        <w:ind w:firstLine="665"/>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（二）扎实做好信息公开工作。一是努力</w:t>
      </w:r>
      <w:r>
        <w:rPr>
          <w:rFonts w:hint="eastAsia" w:ascii="仿宋_GB2312" w:hAnsi="仿宋_GB2312" w:eastAsia="仿宋_GB2312" w:cs="仿宋_GB2312"/>
          <w:color w:val="000000"/>
          <w:sz w:val="32"/>
          <w:szCs w:val="32"/>
        </w:rPr>
        <w:t>拓宽信息公开渠道，</w:t>
      </w:r>
      <w:r>
        <w:rPr>
          <w:rFonts w:hint="eastAsia" w:ascii="仿宋_GB2312" w:hAnsi="仿宋_GB2312" w:eastAsia="仿宋_GB2312" w:cs="仿宋_GB2312"/>
          <w:color w:val="000000"/>
          <w:sz w:val="32"/>
          <w:szCs w:val="32"/>
          <w:lang w:eastAsia="zh-CN"/>
        </w:rPr>
        <w:t>不断</w:t>
      </w:r>
      <w:r>
        <w:rPr>
          <w:rFonts w:hint="eastAsia" w:ascii="仿宋_GB2312" w:hAnsi="仿宋_GB2312" w:eastAsia="仿宋_GB2312" w:cs="仿宋_GB2312"/>
          <w:color w:val="000000"/>
          <w:sz w:val="32"/>
          <w:szCs w:val="32"/>
        </w:rPr>
        <w:t>提升工作规范性和透明度，全年</w:t>
      </w:r>
      <w:r>
        <w:rPr>
          <w:rFonts w:hint="eastAsia" w:ascii="仿宋_GB2312" w:hAnsi="仿宋_GB2312" w:eastAsia="仿宋_GB2312" w:cs="仿宋_GB2312"/>
          <w:color w:val="000000"/>
          <w:sz w:val="32"/>
          <w:szCs w:val="32"/>
          <w:lang w:eastAsia="zh-CN"/>
        </w:rPr>
        <w:t>主动发布政务信息</w:t>
      </w:r>
      <w:r>
        <w:rPr>
          <w:rFonts w:hint="eastAsia" w:ascii="仿宋_GB2312" w:hAnsi="仿宋_GB2312" w:eastAsia="仿宋_GB2312" w:cs="仿宋_GB2312"/>
          <w:color w:val="000000"/>
          <w:sz w:val="32"/>
          <w:szCs w:val="32"/>
          <w:lang w:val="en-US" w:eastAsia="zh-CN"/>
        </w:rPr>
        <w:t>646条，主要内容包括本部门的政策法规信息和退役军人事务工作的市县工作动态。二是规范依申请公开，按照政府信息依申请公开指南，健全政府信息依申请公开受理、答复机制，认真受理、办理依申请公开并及时公布申请受理情况和办理结果。2019年，我局未接到依申请公开件。</w:t>
      </w:r>
    </w:p>
    <w:p>
      <w:pPr>
        <w:adjustRightInd/>
        <w:snapToGrid/>
        <w:spacing w:after="0"/>
        <w:ind w:firstLine="665"/>
        <w:jc w:val="both"/>
        <w:rPr>
          <w:rFonts w:hint="eastAsia" w:ascii="仿宋_GB2312" w:hAnsi="仿宋_GB2312" w:eastAsia="仿宋_GB2312" w:cs="仿宋_GB2312"/>
          <w:b/>
          <w:bCs/>
          <w:color w:val="000000"/>
          <w:sz w:val="32"/>
          <w:szCs w:val="32"/>
          <w:lang w:val="en-US" w:eastAsia="zh-CN"/>
        </w:rPr>
      </w:pPr>
    </w:p>
    <w:p>
      <w:pPr>
        <w:adjustRightInd/>
        <w:snapToGrid/>
        <w:spacing w:after="0"/>
        <w:jc w:val="both"/>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　　二、主动公开政府信息情况</w:t>
      </w:r>
    </w:p>
    <w:p>
      <w:pPr>
        <w:adjustRightInd/>
        <w:snapToGrid/>
        <w:spacing w:after="0"/>
        <w:jc w:val="both"/>
        <w:rPr>
          <w:rFonts w:hint="eastAsia" w:ascii="宋体" w:hAnsi="宋体" w:eastAsia="宋体" w:cs="宋体"/>
          <w:color w:val="000000"/>
          <w:sz w:val="24"/>
          <w:szCs w:val="24"/>
        </w:rPr>
      </w:pPr>
      <w:r>
        <w:rPr>
          <w:rFonts w:hint="eastAsia" w:ascii="仿宋_GB2312" w:hAnsi="仿宋_GB2312" w:eastAsia="仿宋_GB2312" w:cs="仿宋_GB2312"/>
          <w:b/>
          <w:bCs/>
          <w:color w:val="000000"/>
          <w:sz w:val="32"/>
          <w:szCs w:val="32"/>
          <w:lang w:eastAsia="zh-CN"/>
        </w:rPr>
        <w:t>　</w:t>
      </w:r>
    </w:p>
    <w:tbl>
      <w:tblPr>
        <w:tblStyle w:val="3"/>
        <w:tblW w:w="8140" w:type="dxa"/>
        <w:jc w:val="center"/>
        <w:tblLayout w:type="autofit"/>
        <w:tblCellMar>
          <w:top w:w="15" w:type="dxa"/>
          <w:left w:w="15" w:type="dxa"/>
          <w:bottom w:w="15" w:type="dxa"/>
          <w:right w:w="15" w:type="dxa"/>
        </w:tblCellMar>
      </w:tblPr>
      <w:tblGrid>
        <w:gridCol w:w="3113"/>
        <w:gridCol w:w="1875"/>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ascii="宋体" w:hAnsi="宋体" w:eastAsia="宋体" w:cs="宋体"/>
                <w:color w:val="00000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ascii="宋体" w:hAnsi="宋体" w:eastAsia="宋体" w:cs="宋体"/>
                <w:color w:val="000000"/>
                <w:sz w:val="20"/>
                <w:szCs w:val="20"/>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hint="eastAsia" w:ascii="宋体" w:hAnsi="宋体" w:eastAsia="宋体" w:cs="宋体"/>
                <w:color w:val="000000"/>
                <w:sz w:val="24"/>
                <w:szCs w:val="24"/>
                <w:lang w:val="en-US" w:eastAsia="zh-CN"/>
              </w:rPr>
            </w:pPr>
            <w:r>
              <w:rPr>
                <w:rFonts w:hint="eastAsia" w:ascii="宋体" w:hAnsi="宋体" w:eastAsia="宋体" w:cs="宋体"/>
                <w:color w:val="000000"/>
                <w:sz w:val="20"/>
                <w:szCs w:val="20"/>
              </w:rPr>
              <w:t>　　</w:t>
            </w:r>
            <w:r>
              <w:rPr>
                <w:rFonts w:hint="eastAsia" w:ascii="宋体" w:hAnsi="宋体" w:eastAsia="宋体" w:cs="宋体"/>
                <w:color w:val="00000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hint="eastAsia" w:ascii="宋体" w:hAnsi="宋体" w:eastAsia="宋体" w:cs="宋体"/>
                <w:color w:val="000000"/>
                <w:sz w:val="24"/>
                <w:szCs w:val="24"/>
                <w:lang w:val="en-US" w:eastAsia="zh-CN"/>
              </w:rPr>
            </w:pPr>
            <w:r>
              <w:rPr>
                <w:rFonts w:hint="eastAsia" w:ascii="宋体" w:hAnsi="宋体" w:eastAsia="宋体" w:cs="宋体"/>
                <w:color w:val="000000"/>
                <w:sz w:val="20"/>
                <w:szCs w:val="20"/>
              </w:rPr>
              <w:t> </w:t>
            </w:r>
            <w:r>
              <w:rPr>
                <w:rFonts w:hint="eastAsia" w:ascii="宋体" w:hAnsi="宋体" w:eastAsia="宋体" w:cs="宋体"/>
                <w:color w:val="00000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hint="eastAsia" w:ascii="宋体" w:hAnsi="宋体" w:eastAsia="宋体" w:cs="宋体"/>
                <w:color w:val="000000"/>
                <w:sz w:val="24"/>
                <w:szCs w:val="24"/>
                <w:lang w:val="en-US" w:eastAsia="zh-CN"/>
              </w:rPr>
            </w:pPr>
            <w:r>
              <w:rPr>
                <w:rFonts w:hint="eastAsia" w:ascii="宋体" w:hAnsi="宋体" w:eastAsia="宋体" w:cs="宋体"/>
                <w:color w:val="000000"/>
                <w:sz w:val="20"/>
                <w:szCs w:val="20"/>
              </w:rPr>
              <w:t>　</w:t>
            </w: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hint="eastAsia" w:ascii="宋体" w:hAnsi="宋体" w:eastAsia="宋体" w:cs="宋体"/>
                <w:color w:val="000000"/>
                <w:sz w:val="24"/>
                <w:szCs w:val="24"/>
                <w:lang w:val="en-US" w:eastAsia="zh-CN"/>
              </w:rPr>
            </w:pPr>
            <w:r>
              <w:rPr>
                <w:rFonts w:hint="eastAsia" w:ascii="宋体" w:hAnsi="宋体" w:eastAsia="宋体" w:cs="宋体"/>
                <w:color w:val="000000"/>
                <w:sz w:val="20"/>
                <w:szCs w:val="20"/>
              </w:rPr>
              <w:t>　　</w:t>
            </w:r>
            <w:r>
              <w:rPr>
                <w:rFonts w:hint="eastAsia" w:ascii="宋体" w:hAnsi="宋体" w:eastAsia="宋体" w:cs="宋体"/>
                <w:color w:val="00000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hint="eastAsia" w:ascii="宋体" w:hAnsi="宋体" w:eastAsia="宋体" w:cs="宋体"/>
                <w:color w:val="000000"/>
                <w:sz w:val="24"/>
                <w:szCs w:val="24"/>
                <w:lang w:val="en-US" w:eastAsia="zh-CN"/>
              </w:rPr>
            </w:pPr>
            <w:r>
              <w:rPr>
                <w:rFonts w:hint="eastAsia" w:ascii="宋体" w:hAnsi="宋体" w:eastAsia="宋体" w:cs="宋体"/>
                <w:color w:val="000000"/>
                <w:sz w:val="20"/>
                <w:szCs w:val="20"/>
              </w:rPr>
              <w:t> </w:t>
            </w:r>
            <w:r>
              <w:rPr>
                <w:rFonts w:hint="eastAsia" w:ascii="宋体" w:hAnsi="宋体" w:eastAsia="宋体" w:cs="宋体"/>
                <w:color w:val="00000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hint="eastAsia" w:ascii="宋体" w:hAnsi="宋体" w:eastAsia="宋体" w:cs="宋体"/>
                <w:color w:val="000000"/>
                <w:sz w:val="24"/>
                <w:szCs w:val="24"/>
                <w:lang w:val="en-US" w:eastAsia="zh-CN"/>
              </w:rPr>
            </w:pPr>
            <w:r>
              <w:rPr>
                <w:rFonts w:hint="eastAsia" w:ascii="宋体" w:hAnsi="宋体" w:eastAsia="宋体" w:cs="宋体"/>
                <w:color w:val="000000"/>
                <w:sz w:val="20"/>
                <w:szCs w:val="20"/>
              </w:rPr>
              <w:t>　</w:t>
            </w:r>
            <w:r>
              <w:rPr>
                <w:rFonts w:hint="eastAsia" w:ascii="宋体" w:hAnsi="宋体" w:eastAsia="宋体" w:cs="宋体"/>
                <w:color w:val="000000"/>
                <w:sz w:val="20"/>
                <w:szCs w:val="20"/>
                <w:lang w:val="en-US" w:eastAsia="zh-CN"/>
              </w:rPr>
              <w:t>0</w:t>
            </w:r>
            <w:bookmarkStart w:id="0" w:name="_GoBack"/>
            <w:bookmarkEnd w:id="0"/>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行政许可</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行政处罚</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行政强制</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lang w:val="en-US" w:eastAsia="zh-CN"/>
              </w:rPr>
              <w:t>采购八一慰问品</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adjustRightInd/>
              <w:snapToGrid/>
              <w:spacing w:after="0"/>
              <w:jc w:val="center"/>
              <w:rPr>
                <w:rFonts w:hint="default" w:ascii="宋体" w:hAnsi="宋体" w:eastAsia="宋体" w:cs="宋体"/>
                <w:color w:val="000000"/>
                <w:sz w:val="24"/>
                <w:szCs w:val="24"/>
                <w:lang w:val="en-US"/>
              </w:rPr>
            </w:pPr>
            <w:r>
              <w:rPr>
                <w:rFonts w:hint="eastAsia" w:ascii="宋体" w:hAnsi="宋体" w:eastAsia="宋体" w:cs="宋体"/>
                <w:color w:val="000000"/>
                <w:sz w:val="20"/>
                <w:szCs w:val="20"/>
                <w:lang w:val="en-US" w:eastAsia="zh-CN"/>
              </w:rPr>
              <w:t>20万</w:t>
            </w:r>
          </w:p>
        </w:tc>
      </w:tr>
    </w:tbl>
    <w:p>
      <w:pPr>
        <w:adjustRightInd/>
        <w:snapToGrid/>
        <w:spacing w:after="0"/>
        <w:ind w:firstLine="480"/>
        <w:jc w:val="both"/>
        <w:rPr>
          <w:rFonts w:hint="eastAsia" w:ascii="宋体" w:hAnsi="宋体" w:eastAsia="宋体" w:cs="宋体"/>
          <w:color w:val="000000"/>
          <w:sz w:val="24"/>
          <w:szCs w:val="24"/>
        </w:rPr>
      </w:pPr>
    </w:p>
    <w:p>
      <w:pPr>
        <w:adjustRightInd/>
        <w:snapToGrid/>
        <w:spacing w:after="0"/>
        <w:ind w:firstLine="480"/>
        <w:jc w:val="both"/>
        <w:rPr>
          <w:rFonts w:hint="eastAsia" w:ascii="宋体" w:hAnsi="宋体" w:eastAsia="宋体" w:cs="宋体"/>
          <w:b w:val="0"/>
          <w:bCs w:val="0"/>
          <w:color w:val="000000"/>
          <w:sz w:val="24"/>
          <w:szCs w:val="24"/>
        </w:rPr>
      </w:pPr>
      <w:r>
        <w:rPr>
          <w:rFonts w:hint="eastAsia" w:ascii="黑体" w:hAnsi="黑体" w:eastAsia="黑体" w:cs="黑体"/>
          <w:b w:val="0"/>
          <w:bCs w:val="0"/>
          <w:color w:val="000000"/>
          <w:sz w:val="32"/>
          <w:szCs w:val="32"/>
        </w:rPr>
        <w:t>三、收到和处理政府信息公开申请情况</w:t>
      </w:r>
      <w:r>
        <w:rPr>
          <w:rFonts w:hint="eastAsia" w:ascii="宋体" w:hAnsi="宋体" w:eastAsia="宋体" w:cs="宋体"/>
          <w:b/>
          <w:bCs/>
          <w:color w:val="000000"/>
          <w:sz w:val="24"/>
          <w:szCs w:val="24"/>
        </w:rPr>
        <w:br w:type="textWrapping"/>
      </w:r>
      <w:r>
        <w:rPr>
          <w:rFonts w:hint="eastAsia" w:ascii="宋体" w:hAnsi="宋体" w:eastAsia="宋体" w:cs="宋体"/>
          <w:b/>
          <w:bCs/>
          <w:color w:val="000000"/>
          <w:sz w:val="24"/>
          <w:szCs w:val="24"/>
        </w:rPr>
        <w:br w:type="textWrapping"/>
      </w:r>
    </w:p>
    <w:tbl>
      <w:tblPr>
        <w:tblStyle w:val="3"/>
        <w:tblW w:w="9071" w:type="dxa"/>
        <w:jc w:val="center"/>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82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自然人</w:t>
            </w:r>
          </w:p>
        </w:tc>
        <w:tc>
          <w:tcPr>
            <w:tcW w:w="406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商业企业</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科研机构</w:t>
            </w:r>
          </w:p>
        </w:tc>
        <w:tc>
          <w:tcPr>
            <w:tcW w:w="82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社会公益组织</w:t>
            </w:r>
          </w:p>
        </w:tc>
        <w:tc>
          <w:tcPr>
            <w:tcW w:w="99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一、本年新收政府信息公开申请数量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二、上年结转政府信息公开申请数量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三、本年度办理结果</w:t>
            </w: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（一）予以公开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（三）不予公开</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1.属于国家秘密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2.其他法律行政法规禁止公开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3.危及“三安全一稳定”</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4.保护第三方合法权益</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5.属于三类内部事务信息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6.属于四类过程性信息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7.属于行政执法案卷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8.属于行政查询事项</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（四）无法提供</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1.本机关不掌握相关政府信息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2.没有现成信息需要另行制作</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3.补正后申请内容仍不明确</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（五）不予处理</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1.信访举报投诉类申请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2.重复申请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3.要求提供公开出版物</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4.无正当理由大量反复申请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5.要求行政机关确认或重新出具已获取信息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楷体" w:hAnsi="楷体" w:eastAsia="楷体" w:cs="宋体"/>
                <w:color w:val="000000"/>
                <w:sz w:val="20"/>
                <w:szCs w:val="20"/>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bl>
    <w:p>
      <w:pPr>
        <w:adjustRightInd/>
        <w:snapToGrid/>
        <w:spacing w:after="0"/>
        <w:jc w:val="both"/>
        <w:rPr>
          <w:rFonts w:hint="eastAsia" w:ascii="仿宋_GB2312" w:hAnsi="仿宋_GB2312" w:eastAsia="仿宋_GB2312" w:cs="仿宋_GB2312"/>
          <w:b/>
          <w:bCs/>
          <w:color w:val="000000"/>
          <w:sz w:val="32"/>
          <w:szCs w:val="32"/>
        </w:rPr>
      </w:pPr>
    </w:p>
    <w:p>
      <w:pPr>
        <w:adjustRightInd/>
        <w:snapToGrid/>
        <w:spacing w:after="0"/>
        <w:jc w:val="both"/>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　　</w:t>
      </w:r>
    </w:p>
    <w:p>
      <w:pPr>
        <w:adjustRightInd/>
        <w:snapToGrid/>
        <w:spacing w:after="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　　</w:t>
      </w:r>
      <w:r>
        <w:rPr>
          <w:rFonts w:hint="eastAsia" w:ascii="黑体" w:hAnsi="黑体" w:eastAsia="黑体" w:cs="黑体"/>
          <w:b w:val="0"/>
          <w:bCs w:val="0"/>
          <w:color w:val="000000"/>
          <w:sz w:val="32"/>
          <w:szCs w:val="32"/>
        </w:rPr>
        <w:t>四、政府信息公开行政复议、行政诉讼情况</w:t>
      </w:r>
    </w:p>
    <w:p>
      <w:pPr>
        <w:adjustRightInd/>
        <w:snapToGrid/>
        <w:spacing w:after="0"/>
        <w:jc w:val="both"/>
        <w:rPr>
          <w:rFonts w:hint="eastAsia" w:ascii="仿宋_GB2312" w:hAnsi="仿宋_GB2312" w:eastAsia="仿宋_GB2312" w:cs="仿宋_GB2312"/>
          <w:b/>
          <w:bCs/>
          <w:color w:val="000000"/>
          <w:sz w:val="32"/>
          <w:szCs w:val="32"/>
        </w:rPr>
      </w:pPr>
    </w:p>
    <w:p>
      <w:pPr>
        <w:adjustRightInd/>
        <w:snapToGrid/>
        <w:spacing w:after="0"/>
        <w:ind w:firstLine="480"/>
        <w:jc w:val="both"/>
        <w:rPr>
          <w:rFonts w:hint="eastAsia" w:ascii="宋体" w:hAnsi="宋体" w:eastAsia="宋体" w:cs="宋体"/>
          <w:color w:val="000000"/>
          <w:sz w:val="24"/>
          <w:szCs w:val="24"/>
        </w:rPr>
      </w:pPr>
    </w:p>
    <w:tbl>
      <w:tblPr>
        <w:tblStyle w:val="3"/>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0"/>
                <w:szCs w:val="20"/>
                <w:lang w:val="en-US" w:eastAsia="zh-CN"/>
              </w:rPr>
              <w:t>0</w:t>
            </w:r>
          </w:p>
        </w:tc>
      </w:tr>
    </w:tbl>
    <w:p>
      <w:pPr>
        <w:adjustRightInd/>
        <w:snapToGrid/>
        <w:spacing w:after="150"/>
        <w:jc w:val="center"/>
        <w:rPr>
          <w:rFonts w:hint="eastAsia" w:ascii="Segoe UI" w:hAnsi="Segoe UI" w:eastAsia="宋体" w:cs="Segoe UI"/>
          <w:color w:val="000000"/>
          <w:sz w:val="24"/>
          <w:szCs w:val="24"/>
        </w:rPr>
      </w:pP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32"/>
          <w:szCs w:val="32"/>
          <w:lang w:eastAsia="zh-CN"/>
        </w:rPr>
        <w:t>　　</w:t>
      </w:r>
      <w:r>
        <w:rPr>
          <w:rFonts w:hint="eastAsia" w:ascii="黑体" w:hAnsi="黑体" w:eastAsia="黑体" w:cs="黑体"/>
          <w:b w:val="0"/>
          <w:bCs w:val="0"/>
          <w:color w:val="000000"/>
          <w:sz w:val="32"/>
          <w:szCs w:val="32"/>
        </w:rPr>
        <w:t>五、存在的主要问题及改进情况</w:t>
      </w: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　　当前，我局的政府信息公开工作还存在不足之处：一是全局工作人员的政府信息主动公开意识还不强；二是政府信息公开工作的机制还有待进一步完善。下一步我局将加强业务培训和队伍建设，组织开展工作人员的专业培训，及时总结经验，不断提升工作人员的政策把握能力和信息公开工作水平。同时进一步完善政府信息公开工作机制，严格落实政府信息公开的各项规定，使我局的政府信息公开工作得到全面提高。</w:t>
      </w: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32"/>
          <w:szCs w:val="32"/>
          <w:lang w:eastAsia="zh-CN"/>
        </w:rPr>
        <w:t>　　</w:t>
      </w:r>
      <w:r>
        <w:rPr>
          <w:rFonts w:hint="eastAsia" w:ascii="黑体" w:hAnsi="黑体" w:eastAsia="黑体" w:cs="黑体"/>
          <w:b w:val="0"/>
          <w:bCs w:val="0"/>
          <w:color w:val="000000"/>
          <w:sz w:val="32"/>
          <w:szCs w:val="32"/>
        </w:rPr>
        <w:t>六、其他需要报告的事项</w:t>
      </w:r>
    </w:p>
    <w:p>
      <w:pPr>
        <w:keepNext w:val="0"/>
        <w:keepLines w:val="0"/>
        <w:pageBreakBefore w:val="0"/>
        <w:widowControl/>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eastAsia="zh-CN"/>
        </w:rPr>
      </w:pPr>
      <w:r>
        <w:rPr>
          <w:rFonts w:hint="eastAsia"/>
          <w:lang w:eastAsia="zh-CN"/>
        </w:rPr>
        <w:t>　　　</w:t>
      </w:r>
      <w:r>
        <w:rPr>
          <w:rFonts w:hint="eastAsia" w:ascii="仿宋_GB2312" w:hAnsi="仿宋_GB2312" w:eastAsia="仿宋_GB2312" w:cs="仿宋_GB2312"/>
          <w:sz w:val="32"/>
          <w:szCs w:val="32"/>
          <w:lang w:eastAsia="zh-CN"/>
        </w:rPr>
        <w:t>无。</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A4F2C"/>
    <w:rsid w:val="008B7726"/>
    <w:rsid w:val="009D7B18"/>
    <w:rsid w:val="00D31D50"/>
    <w:rsid w:val="09492B0F"/>
    <w:rsid w:val="18052A7D"/>
    <w:rsid w:val="191D3E0F"/>
    <w:rsid w:val="1D1152F3"/>
    <w:rsid w:val="265D1485"/>
    <w:rsid w:val="27410750"/>
    <w:rsid w:val="32A33D4B"/>
    <w:rsid w:val="3475758B"/>
    <w:rsid w:val="44693056"/>
    <w:rsid w:val="5203210C"/>
    <w:rsid w:val="5DA60E54"/>
    <w:rsid w:val="5E650BF1"/>
    <w:rsid w:val="5FE50343"/>
    <w:rsid w:val="650D5AA0"/>
    <w:rsid w:val="70AE46DA"/>
    <w:rsid w:val="73145CD0"/>
    <w:rsid w:val="764E5048"/>
    <w:rsid w:val="7FEE0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758</Words>
  <Characters>4327</Characters>
  <Lines>36</Lines>
  <Paragraphs>10</Paragraphs>
  <TotalTime>15</TotalTime>
  <ScaleCrop>false</ScaleCrop>
  <LinksUpToDate>false</LinksUpToDate>
  <CharactersWithSpaces>5075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北郭先生</cp:lastModifiedBy>
  <cp:lastPrinted>2020-01-21T10:11:00Z</cp:lastPrinted>
  <dcterms:modified xsi:type="dcterms:W3CDTF">2021-05-20T02:40:40Z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E0BF75F5DED94D29BF9305875A5F7A64</vt:lpwstr>
  </property>
</Properties>
</file>